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271B">
      <w:pPr>
        <w:pStyle w:val="15"/>
        <w:numPr>
          <w:ilvl w:val="0"/>
          <w:numId w:val="0"/>
        </w:num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附件1：</w:t>
      </w:r>
    </w:p>
    <w:p w14:paraId="39AA6F01">
      <w:pPr>
        <w:jc w:val="center"/>
        <w:rPr>
          <w:rFonts w:ascii="Times New Roman" w:hAnsi="Times New Roman" w:eastAsia="仿宋" w:cs="仿宋"/>
          <w:bCs/>
          <w:sz w:val="30"/>
          <w:szCs w:val="30"/>
        </w:rPr>
      </w:pPr>
      <w:r>
        <w:rPr>
          <w:rFonts w:hint="eastAsia" w:ascii="黑体" w:hAnsi="黑体" w:eastAsia="黑体" w:cs="黑体"/>
          <w:b/>
          <w:bCs/>
          <w:sz w:val="44"/>
          <w:szCs w:val="44"/>
          <w:lang w:val="en-US" w:eastAsia="zh-CN"/>
        </w:rPr>
        <w:t>病理图像采集终端采购</w:t>
      </w:r>
      <w:r>
        <w:rPr>
          <w:rFonts w:hint="eastAsia" w:ascii="黑体" w:hAnsi="黑体" w:eastAsia="黑体" w:cs="黑体"/>
          <w:b/>
          <w:bCs/>
          <w:sz w:val="44"/>
          <w:szCs w:val="44"/>
        </w:rPr>
        <w:t>需求</w:t>
      </w:r>
    </w:p>
    <w:p w14:paraId="6350FC7D">
      <w:pPr>
        <w:numPr>
          <w:ilvl w:val="0"/>
          <w:numId w:val="0"/>
        </w:numPr>
        <w:spacing w:line="360" w:lineRule="auto"/>
        <w:ind w:left="630" w:leftChars="0" w:firstLine="0" w:firstLineChars="0"/>
        <w:rPr>
          <w:rFonts w:hint="default"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一、采购需求</w:t>
      </w:r>
    </w:p>
    <w:tbl>
      <w:tblPr>
        <w:tblStyle w:val="8"/>
        <w:tblW w:w="8304"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7706"/>
      </w:tblGrid>
      <w:tr w14:paraId="07BCFCE2">
        <w:trPr>
          <w:trHeight w:val="261" w:hRule="atLeast"/>
        </w:trPr>
        <w:tc>
          <w:tcPr>
            <w:tcW w:w="598" w:type="dxa"/>
            <w:shd w:val="clear" w:color="auto" w:fill="auto"/>
          </w:tcPr>
          <w:p w14:paraId="7644F730">
            <w:pPr>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名称</w:t>
            </w:r>
          </w:p>
        </w:tc>
        <w:tc>
          <w:tcPr>
            <w:tcW w:w="7706" w:type="dxa"/>
            <w:shd w:val="clear" w:color="auto" w:fill="auto"/>
          </w:tcPr>
          <w:p w14:paraId="51055659">
            <w:pPr>
              <w:jc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技术参数</w:t>
            </w:r>
          </w:p>
        </w:tc>
      </w:tr>
      <w:tr w14:paraId="1174621F">
        <w:trPr>
          <w:trHeight w:val="1775" w:hRule="atLeast"/>
        </w:trPr>
        <w:tc>
          <w:tcPr>
            <w:tcW w:w="598" w:type="dxa"/>
            <w:shd w:val="clear" w:color="auto" w:fill="auto"/>
          </w:tcPr>
          <w:p w14:paraId="35C6B68C">
            <w:pPr>
              <w:jc w:val="left"/>
              <w:rPr>
                <w:rFonts w:hint="eastAsia" w:ascii="仿宋_GB2312" w:hAnsi="仿宋_GB2312" w:eastAsia="仿宋_GB2312" w:cs="仿宋_GB2312"/>
                <w:b/>
                <w:bCs/>
                <w:color w:val="000000"/>
                <w:kern w:val="0"/>
                <w:sz w:val="21"/>
                <w:szCs w:val="21"/>
                <w:lang w:val="en-US" w:eastAsia="zh-CN"/>
              </w:rPr>
            </w:pPr>
          </w:p>
          <w:p w14:paraId="0E8E666F">
            <w:pPr>
              <w:jc w:val="left"/>
              <w:rPr>
                <w:rFonts w:hint="eastAsia" w:ascii="仿宋_GB2312" w:hAnsi="仿宋_GB2312" w:eastAsia="仿宋_GB2312" w:cs="仿宋_GB2312"/>
                <w:b/>
                <w:bCs/>
                <w:color w:val="000000"/>
                <w:kern w:val="0"/>
                <w:sz w:val="21"/>
                <w:szCs w:val="21"/>
                <w:lang w:val="en-US" w:eastAsia="zh-CN"/>
              </w:rPr>
            </w:pPr>
          </w:p>
          <w:p w14:paraId="6F1CE806">
            <w:pPr>
              <w:jc w:val="left"/>
              <w:rPr>
                <w:rFonts w:hint="eastAsia" w:ascii="仿宋_GB2312" w:hAnsi="仿宋_GB2312" w:eastAsia="仿宋_GB2312" w:cs="仿宋_GB2312"/>
                <w:b/>
                <w:bCs/>
                <w:color w:val="000000"/>
                <w:kern w:val="0"/>
                <w:sz w:val="21"/>
                <w:szCs w:val="21"/>
                <w:lang w:val="en-US" w:eastAsia="zh-CN"/>
              </w:rPr>
            </w:pPr>
          </w:p>
          <w:p w14:paraId="6473C970">
            <w:pPr>
              <w:jc w:val="left"/>
              <w:rPr>
                <w:rFonts w:hint="eastAsia" w:ascii="仿宋_GB2312" w:hAnsi="仿宋_GB2312" w:eastAsia="仿宋_GB2312" w:cs="仿宋_GB2312"/>
                <w:b/>
                <w:bCs/>
                <w:color w:val="000000"/>
                <w:kern w:val="0"/>
                <w:sz w:val="21"/>
                <w:szCs w:val="21"/>
                <w:lang w:val="en-US" w:eastAsia="zh-CN"/>
              </w:rPr>
            </w:pPr>
          </w:p>
          <w:p w14:paraId="70790C44">
            <w:pPr>
              <w:jc w:val="left"/>
              <w:rPr>
                <w:rFonts w:hint="eastAsia" w:ascii="仿宋_GB2312" w:hAnsi="仿宋_GB2312" w:eastAsia="仿宋_GB2312" w:cs="仿宋_GB2312"/>
                <w:b/>
                <w:bCs/>
                <w:color w:val="000000"/>
                <w:kern w:val="0"/>
                <w:sz w:val="21"/>
                <w:szCs w:val="21"/>
                <w:lang w:val="en-US" w:eastAsia="zh-CN"/>
              </w:rPr>
            </w:pPr>
          </w:p>
          <w:p w14:paraId="67113E16">
            <w:pPr>
              <w:jc w:val="left"/>
              <w:rPr>
                <w:rFonts w:hint="eastAsia" w:ascii="仿宋_GB2312" w:hAnsi="仿宋_GB2312" w:eastAsia="仿宋_GB2312" w:cs="仿宋_GB2312"/>
                <w:b/>
                <w:bCs/>
                <w:color w:val="000000"/>
                <w:kern w:val="0"/>
                <w:sz w:val="21"/>
                <w:szCs w:val="21"/>
                <w:lang w:val="en-US" w:eastAsia="zh-CN"/>
              </w:rPr>
            </w:pPr>
          </w:p>
          <w:p w14:paraId="711BA4C7">
            <w:pPr>
              <w:jc w:val="left"/>
              <w:rPr>
                <w:rFonts w:hint="eastAsia" w:ascii="仿宋_GB2312" w:hAnsi="仿宋_GB2312" w:eastAsia="仿宋_GB2312" w:cs="仿宋_GB2312"/>
                <w:b/>
                <w:bCs/>
                <w:color w:val="000000"/>
                <w:kern w:val="0"/>
                <w:sz w:val="21"/>
                <w:szCs w:val="21"/>
                <w:lang w:val="en-US" w:eastAsia="zh-CN"/>
              </w:rPr>
            </w:pPr>
          </w:p>
          <w:p w14:paraId="78F47B07">
            <w:pPr>
              <w:jc w:val="left"/>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t>病理图像采集终端</w:t>
            </w:r>
          </w:p>
        </w:tc>
        <w:tc>
          <w:tcPr>
            <w:tcW w:w="7706" w:type="dxa"/>
            <w:shd w:val="clear" w:color="auto" w:fill="auto"/>
          </w:tcPr>
          <w:p w14:paraId="49728567">
            <w:pPr>
              <w:spacing w:line="36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b/>
                <w:bCs/>
                <w:kern w:val="0"/>
                <w:sz w:val="21"/>
                <w:szCs w:val="21"/>
                <w:lang w:val="en-US" w:eastAsia="zh-CN"/>
              </w:rPr>
              <w:t>●1</w:t>
            </w:r>
            <w:r>
              <w:rPr>
                <w:rFonts w:hint="eastAsia" w:ascii="仿宋_GB2312" w:hAnsi="仿宋_GB2312" w:eastAsia="仿宋_GB2312" w:cs="仿宋_GB2312"/>
                <w:b/>
                <w:bCs/>
                <w:kern w:val="0"/>
                <w:sz w:val="21"/>
                <w:szCs w:val="21"/>
              </w:rPr>
              <w:t>.成像设备：</w:t>
            </w:r>
            <w:r>
              <w:rPr>
                <w:rFonts w:hint="eastAsia" w:ascii="仿宋_GB2312" w:hAnsi="仿宋_GB2312" w:eastAsia="仿宋_GB2312" w:cs="仿宋_GB2312"/>
                <w:kern w:val="0"/>
                <w:sz w:val="21"/>
                <w:szCs w:val="21"/>
              </w:rPr>
              <w:t>大靶面面阵CMOS；</w:t>
            </w:r>
          </w:p>
          <w:p w14:paraId="09F96E0E">
            <w:pPr>
              <w:tabs>
                <w:tab w:val="left" w:pos="210"/>
              </w:tabs>
              <w:snapToGrid w:val="0"/>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b/>
                <w:bCs/>
                <w:kern w:val="0"/>
                <w:sz w:val="21"/>
                <w:szCs w:val="21"/>
              </w:rPr>
              <w:t>2.扫描轴定位控制：</w:t>
            </w:r>
            <w:r>
              <w:rPr>
                <w:rFonts w:hint="eastAsia" w:ascii="仿宋_GB2312" w:hAnsi="仿宋_GB2312" w:eastAsia="仿宋_GB2312" w:cs="仿宋_GB2312"/>
                <w:color w:val="000000"/>
                <w:kern w:val="0"/>
                <w:sz w:val="21"/>
                <w:szCs w:val="21"/>
              </w:rPr>
              <w:t>50纳米精密定位光栅，直线电机。</w:t>
            </w:r>
          </w:p>
          <w:p w14:paraId="57974014">
            <w:pPr>
              <w:tabs>
                <w:tab w:val="left" w:pos="210"/>
              </w:tabs>
              <w:snapToGrid w:val="0"/>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b/>
                <w:bCs/>
                <w:color w:val="000000"/>
                <w:kern w:val="0"/>
                <w:sz w:val="21"/>
                <w:szCs w:val="21"/>
              </w:rPr>
              <w:t>3.扫描方式：</w:t>
            </w:r>
            <w:r>
              <w:rPr>
                <w:rFonts w:hint="eastAsia" w:ascii="仿宋_GB2312" w:hAnsi="仿宋_GB2312" w:eastAsia="仿宋_GB2312" w:cs="仿宋_GB2312"/>
                <w:color w:val="000000"/>
                <w:kern w:val="0"/>
                <w:sz w:val="21"/>
                <w:szCs w:val="21"/>
              </w:rPr>
              <w:t>面阵扫描技术；</w:t>
            </w:r>
          </w:p>
          <w:p w14:paraId="2111DADA">
            <w:pPr>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b/>
                <w:bCs/>
                <w:color w:val="000000"/>
                <w:kern w:val="0"/>
                <w:sz w:val="21"/>
                <w:szCs w:val="21"/>
              </w:rPr>
              <w:t>4.对焦轴控制：</w:t>
            </w:r>
            <w:r>
              <w:rPr>
                <w:rFonts w:hint="eastAsia" w:ascii="仿宋_GB2312" w:hAnsi="仿宋_GB2312" w:eastAsia="仿宋_GB2312" w:cs="仿宋_GB2312"/>
                <w:color w:val="000000"/>
                <w:kern w:val="0"/>
                <w:sz w:val="21"/>
                <w:szCs w:val="21"/>
              </w:rPr>
              <w:t>双级对焦；预对焦重复定位精度1.0um（滚珠丝杆）；细对焦重复定位精度10nm（纳米压电载物台）</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10um阶跃定位时间小于40ms；</w:t>
            </w:r>
          </w:p>
          <w:p w14:paraId="1F56ECE4">
            <w:pPr>
              <w:tabs>
                <w:tab w:val="left" w:pos="210"/>
              </w:tabs>
              <w:snapToGrid w:val="0"/>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5.数字切片扫描工作站1台：</w:t>
            </w:r>
            <w:r>
              <w:rPr>
                <w:rFonts w:hint="eastAsia" w:ascii="仿宋_GB2312" w:hAnsi="仿宋_GB2312" w:eastAsia="仿宋_GB2312" w:cs="仿宋_GB2312"/>
                <w:color w:val="000000"/>
                <w:kern w:val="0"/>
                <w:sz w:val="21"/>
                <w:szCs w:val="21"/>
              </w:rPr>
              <w:t>高性能计算机，装有扫描控制软件、数字切片浏览软件，用于扫描过程的控制和扫描结果WSI图像的浏览；</w:t>
            </w:r>
          </w:p>
          <w:p w14:paraId="0E724981">
            <w:pPr>
              <w:tabs>
                <w:tab w:val="left" w:pos="210"/>
              </w:tabs>
              <w:snapToGrid w:val="0"/>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6.扫描工作站处理器：</w:t>
            </w:r>
            <w:r>
              <w:rPr>
                <w:rFonts w:hint="eastAsia" w:ascii="仿宋_GB2312" w:hAnsi="仿宋_GB2312" w:eastAsia="仿宋_GB2312" w:cs="仿宋_GB2312"/>
                <w:color w:val="000000"/>
                <w:kern w:val="0"/>
                <w:sz w:val="21"/>
                <w:szCs w:val="21"/>
              </w:rPr>
              <w:t>16线程处理器；硬盘≥3TB；内存：≥32G；显示器：≥24英寸；</w:t>
            </w:r>
          </w:p>
          <w:p w14:paraId="7B7A7B4D">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b/>
                <w:bCs/>
                <w:sz w:val="21"/>
                <w:szCs w:val="21"/>
              </w:rPr>
              <w:t>7.系统成像速度：</w:t>
            </w:r>
            <w:r>
              <w:rPr>
                <w:rFonts w:hint="eastAsia" w:ascii="仿宋_GB2312" w:hAnsi="仿宋_GB2312" w:eastAsia="仿宋_GB2312" w:cs="仿宋_GB2312"/>
                <w:sz w:val="21"/>
                <w:szCs w:val="21"/>
              </w:rPr>
              <w:t>20倍物镜下速度不低于</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cm²/min；40倍物镜下速度不低于</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cm²/min；</w:t>
            </w:r>
          </w:p>
          <w:p w14:paraId="609AFB40">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b/>
                <w:bCs/>
                <w:sz w:val="21"/>
                <w:szCs w:val="21"/>
              </w:rPr>
              <w:t>8.扫描分辨率：</w:t>
            </w:r>
            <w:r>
              <w:rPr>
                <w:rFonts w:hint="eastAsia" w:ascii="仿宋_GB2312" w:hAnsi="仿宋_GB2312" w:eastAsia="仿宋_GB2312" w:cs="仿宋_GB2312"/>
                <w:sz w:val="21"/>
                <w:szCs w:val="21"/>
              </w:rPr>
              <w:t>20倍物镜下扫描分辨率为0.24un/pixel，误差为±15%；40倍物镜下扫描分辨率为0.12un/pixel，误差为±15%；</w:t>
            </w:r>
          </w:p>
          <w:p w14:paraId="5A8AA893">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9.扫描范围：</w:t>
            </w:r>
            <w:r>
              <w:rPr>
                <w:rFonts w:hint="eastAsia" w:ascii="仿宋_GB2312" w:hAnsi="仿宋_GB2312" w:eastAsia="仿宋_GB2312" w:cs="仿宋_GB2312"/>
                <w:sz w:val="21"/>
                <w:szCs w:val="21"/>
              </w:rPr>
              <w:t>24.6mm*45mm，误差为±10%。</w:t>
            </w:r>
          </w:p>
          <w:p w14:paraId="00B1448E">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b/>
                <w:bCs/>
                <w:sz w:val="21"/>
                <w:szCs w:val="21"/>
              </w:rPr>
              <w:t>10.切片同时装载数量：</w:t>
            </w:r>
            <w:r>
              <w:rPr>
                <w:rFonts w:hint="eastAsia" w:ascii="仿宋_GB2312" w:hAnsi="仿宋_GB2312" w:eastAsia="仿宋_GB2312" w:cs="仿宋_GB2312"/>
                <w:sz w:val="21"/>
                <w:szCs w:val="21"/>
              </w:rPr>
              <w:t xml:space="preserve">500 片以上 </w:t>
            </w:r>
          </w:p>
          <w:p w14:paraId="020D12F8">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11.每套扫描设备配片夹 20个；</w:t>
            </w:r>
          </w:p>
          <w:p w14:paraId="2F09D54D">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12.扫描仪设备提供免费的一年的机械质保维护和技术支持；</w:t>
            </w:r>
          </w:p>
          <w:p w14:paraId="2EE9A962">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13.可自动识别切片标签和样本扫描区域</w:t>
            </w:r>
          </w:p>
          <w:p w14:paraId="10195E8E">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14.提供缩略图浏览以及图像浏览和标记功能，可以利用软件在图像上添加注释，包括矩形、圆、线条、箭头等，并提供快速导航。</w:t>
            </w:r>
          </w:p>
          <w:p w14:paraId="55AD46A5">
            <w:pPr>
              <w:spacing w:line="36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val="en-US" w:eastAsia="zh-CN"/>
              </w:rPr>
              <w:t>15.提供</w:t>
            </w:r>
            <w:r>
              <w:rPr>
                <w:rFonts w:hint="eastAsia" w:ascii="仿宋_GB2312" w:hAnsi="仿宋_GB2312" w:eastAsia="仿宋_GB2312" w:cs="仿宋_GB2312"/>
                <w:sz w:val="21"/>
                <w:szCs w:val="21"/>
              </w:rPr>
              <w:t>定位，对比，放大，面积（长宽）测试等辅助功能</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color w:val="000000"/>
                <w:kern w:val="0"/>
                <w:sz w:val="21"/>
                <w:szCs w:val="21"/>
              </w:rPr>
              <w:t>可以对图像进行对比度、亮度和 Gamma 校正。</w:t>
            </w:r>
          </w:p>
          <w:p w14:paraId="444EE73D">
            <w:pPr>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16.</w:t>
            </w:r>
            <w:r>
              <w:rPr>
                <w:rFonts w:hint="eastAsia" w:ascii="仿宋_GB2312" w:hAnsi="仿宋_GB2312" w:eastAsia="仿宋_GB2312" w:cs="仿宋_GB2312"/>
                <w:color w:val="000000"/>
                <w:kern w:val="0"/>
                <w:sz w:val="21"/>
                <w:szCs w:val="21"/>
              </w:rPr>
              <w:t>支持本地阅片、支持多浏览器、支持 iPhone 等移动终端、自由缩放、平移、各类标注（图形、文字）。</w:t>
            </w:r>
          </w:p>
          <w:p w14:paraId="385724AD">
            <w:pPr>
              <w:spacing w:line="36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color w:val="000000"/>
                <w:kern w:val="0"/>
                <w:sz w:val="21"/>
                <w:szCs w:val="21"/>
                <w:lang w:val="en-US" w:eastAsia="zh-CN"/>
              </w:rPr>
              <w:t>17.</w:t>
            </w:r>
            <w:r>
              <w:rPr>
                <w:rFonts w:hint="eastAsia" w:ascii="仿宋_GB2312" w:hAnsi="仿宋_GB2312" w:eastAsia="仿宋_GB2312" w:cs="仿宋_GB2312"/>
                <w:sz w:val="21"/>
                <w:szCs w:val="21"/>
                <w:lang w:val="en-US" w:eastAsia="zh-CN"/>
              </w:rPr>
              <w:t>支持与实验室宫颈细胞图像分析软件 CellVigene-TCT(与采购人现有设备系统一致)的接口数据对接功能，提供详细的接口文档。 投标人在投标文件中需提供承诺函，明确能够实现接口对接功能。</w:t>
            </w:r>
          </w:p>
          <w:p w14:paraId="0EAE5A4B">
            <w:pPr>
              <w:spacing w:line="36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sz w:val="21"/>
                <w:szCs w:val="21"/>
                <w:lang w:val="en-US" w:eastAsia="zh-CN"/>
              </w:rPr>
              <w:t>18.扫描图像质量能够与采购人现有人工智能分析软件适配，保证分析结果的阳性检出率、排阴率等指标不低于现有水平。 投标人在投标文件中需提供承诺函。</w:t>
            </w:r>
          </w:p>
          <w:p w14:paraId="66A01A5F">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kern w:val="0"/>
                <w:sz w:val="21"/>
                <w:szCs w:val="21"/>
                <w:lang w:val="en-US" w:eastAsia="zh-CN"/>
              </w:rPr>
              <w:t>●</w:t>
            </w:r>
            <w:r>
              <w:rPr>
                <w:rFonts w:hint="eastAsia" w:ascii="仿宋_GB2312" w:hAnsi="仿宋_GB2312" w:eastAsia="仿宋_GB2312" w:cs="仿宋_GB2312"/>
                <w:sz w:val="21"/>
                <w:szCs w:val="21"/>
                <w:lang w:val="en-US" w:eastAsia="zh-CN"/>
              </w:rPr>
              <w:t>19.扫描图像支持与实验室现有区域性中心远程病理图像信息平台对接和识别，投标人在投标文件中需提供承诺函。</w:t>
            </w:r>
          </w:p>
        </w:tc>
      </w:tr>
    </w:tbl>
    <w:p w14:paraId="01FE080C">
      <w:pPr>
        <w:numPr>
          <w:ilvl w:val="0"/>
          <w:numId w:val="0"/>
        </w:numPr>
        <w:spacing w:line="360" w:lineRule="auto"/>
        <w:ind w:left="630" w:leftChars="0" w:firstLine="0" w:firstLineChars="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二、商务要求</w:t>
      </w:r>
    </w:p>
    <w:p w14:paraId="34F84FD4">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1.时间要求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要求</w:t>
      </w:r>
      <w:r>
        <w:rPr>
          <w:rFonts w:hint="eastAsia" w:ascii="仿宋_GB2312" w:hAnsi="仿宋_GB2312" w:eastAsia="仿宋_GB2312" w:cs="仿宋_GB2312"/>
          <w:sz w:val="30"/>
          <w:szCs w:val="30"/>
          <w:lang w:val="en-US" w:eastAsia="zh-CN"/>
        </w:rPr>
        <w:t>合同签订30天内完成安装部署测试工作；</w:t>
      </w:r>
    </w:p>
    <w:p w14:paraId="117FE690">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2.中标人负责供货、运输、安装并调试完毕；</w:t>
      </w:r>
    </w:p>
    <w:p w14:paraId="387E8277">
      <w:pPr>
        <w:pStyle w:val="15"/>
        <w:numPr>
          <w:ilvl w:val="0"/>
          <w:numId w:val="0"/>
        </w:numPr>
        <w:spacing w:line="360"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售后服务响应时间：如货物出现质量问题，中标人须2小时内响应,电话响应无法解决，中标人必须在接到报修电话12小时内到达现场并在24小时内解决问题。如不能解决的，中标人需提供备品备件供采购人使用。质保期内如货物出现质量问题，中标人负责修复，对于无法修复的情况，中标人负责更换。</w:t>
      </w:r>
    </w:p>
    <w:p w14:paraId="1699514B">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0846E8D8">
      <w:pPr>
        <w:pStyle w:val="15"/>
        <w:numPr>
          <w:ilvl w:val="0"/>
          <w:numId w:val="0"/>
        </w:num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bookmarkStart w:id="0" w:name="_GoBack"/>
      <w:bookmarkEnd w:id="0"/>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附件2：</w:t>
      </w:r>
    </w:p>
    <w:p w14:paraId="1579E391">
      <w:pPr>
        <w:pStyle w:val="15"/>
        <w:numPr>
          <w:ilvl w:val="0"/>
          <w:numId w:val="0"/>
        </w:numPr>
        <w:spacing w:line="360" w:lineRule="auto"/>
        <w:ind w:firstLine="420" w:firstLine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一、投标材料要求</w:t>
      </w:r>
    </w:p>
    <w:p w14:paraId="28A4A8B3">
      <w:pPr>
        <w:pStyle w:val="15"/>
        <w:numPr>
          <w:ilvl w:val="0"/>
          <w:numId w:val="0"/>
        </w:numPr>
        <w:spacing w:line="360" w:lineRule="auto"/>
        <w:ind w:firstLine="420" w:firstLineChars="0"/>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1、</w:t>
      </w:r>
      <w:r>
        <w:rPr>
          <w:rFonts w:hint="eastAsia" w:ascii="Times New Roman" w:hAnsi="Times New Roman" w:eastAsia="仿宋" w:cs="仿宋"/>
          <w:color w:val="000000" w:themeColor="text1"/>
          <w:sz w:val="30"/>
          <w:szCs w:val="30"/>
          <w14:textFill>
            <w14:solidFill>
              <w14:schemeClr w14:val="tx1"/>
            </w14:solidFill>
          </w14:textFill>
        </w:rPr>
        <w:t>公司营业执照</w:t>
      </w:r>
      <w:r>
        <w:rPr>
          <w:rFonts w:hint="eastAsia" w:ascii="Times New Roman" w:hAnsi="Times New Roman" w:eastAsia="仿宋" w:cs="仿宋"/>
          <w:color w:val="000000" w:themeColor="text1"/>
          <w:sz w:val="30"/>
          <w:szCs w:val="30"/>
          <w:lang w:val="en-US" w:eastAsia="zh-CN"/>
          <w14:textFill>
            <w14:solidFill>
              <w14:schemeClr w14:val="tx1"/>
            </w14:solidFill>
          </w14:textFill>
        </w:rPr>
        <w:t>副本复印件</w:t>
      </w:r>
    </w:p>
    <w:p w14:paraId="6D1D5668">
      <w:pPr>
        <w:pStyle w:val="15"/>
        <w:numPr>
          <w:ilvl w:val="0"/>
          <w:numId w:val="0"/>
        </w:numPr>
        <w:spacing w:line="360" w:lineRule="auto"/>
        <w:ind w:firstLine="420" w:firstLineChars="0"/>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2、法人身份证正反面复印件</w:t>
      </w:r>
    </w:p>
    <w:p w14:paraId="13E6D55D">
      <w:pPr>
        <w:pStyle w:val="15"/>
        <w:numPr>
          <w:ilvl w:val="0"/>
          <w:numId w:val="0"/>
        </w:numPr>
        <w:spacing w:line="360" w:lineRule="auto"/>
        <w:ind w:firstLine="420" w:firstLineChars="0"/>
        <w:rPr>
          <w:rFonts w:hint="default"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3、授权代表人身份证正反面复印件及授权函（格式自拟）</w:t>
      </w:r>
    </w:p>
    <w:p w14:paraId="0449DD6C">
      <w:pPr>
        <w:pStyle w:val="15"/>
        <w:spacing w:line="360" w:lineRule="auto"/>
        <w:ind w:firstLine="420" w:firstLineChars="0"/>
        <w:rPr>
          <w:rFonts w:hint="default" w:ascii="Times New Roman" w:hAnsi="Times New Roman" w:eastAsia="仿宋" w:cs="仿宋"/>
          <w:i/>
          <w:iCs/>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4、项目</w:t>
      </w:r>
      <w:r>
        <w:rPr>
          <w:rFonts w:hint="eastAsia" w:ascii="Times New Roman" w:hAnsi="Times New Roman" w:eastAsia="仿宋" w:cs="仿宋"/>
          <w:color w:val="000000" w:themeColor="text1"/>
          <w:sz w:val="30"/>
          <w:szCs w:val="30"/>
          <w14:textFill>
            <w14:solidFill>
              <w14:schemeClr w14:val="tx1"/>
            </w14:solidFill>
          </w14:textFill>
        </w:rPr>
        <w:t>报价</w:t>
      </w:r>
      <w:r>
        <w:rPr>
          <w:rFonts w:hint="eastAsia" w:ascii="Times New Roman" w:hAnsi="Times New Roman" w:eastAsia="仿宋" w:cs="仿宋"/>
          <w:color w:val="000000" w:themeColor="text1"/>
          <w:sz w:val="30"/>
          <w:szCs w:val="30"/>
          <w:lang w:val="en-US" w:eastAsia="zh-CN"/>
          <w14:textFill>
            <w14:solidFill>
              <w14:schemeClr w14:val="tx1"/>
            </w14:solidFill>
          </w14:textFill>
        </w:rPr>
        <w:t>函</w:t>
      </w:r>
      <w:r>
        <w:rPr>
          <w:rFonts w:hint="eastAsia" w:ascii="Times New Roman" w:hAnsi="Times New Roman" w:eastAsia="仿宋" w:cs="仿宋"/>
          <w:color w:val="000000" w:themeColor="text1"/>
          <w:sz w:val="30"/>
          <w:szCs w:val="30"/>
          <w:lang w:eastAsia="zh-CN"/>
          <w14:textFill>
            <w14:solidFill>
              <w14:schemeClr w14:val="tx1"/>
            </w14:solidFill>
          </w14:textFill>
        </w:rPr>
        <w:t>（</w:t>
      </w:r>
      <w:r>
        <w:rPr>
          <w:rFonts w:hint="eastAsia" w:ascii="Times New Roman" w:hAnsi="Times New Roman" w:eastAsia="仿宋" w:cs="仿宋"/>
          <w:color w:val="000000" w:themeColor="text1"/>
          <w:sz w:val="30"/>
          <w:szCs w:val="30"/>
          <w:lang w:val="en-US" w:eastAsia="zh-CN"/>
          <w14:textFill>
            <w14:solidFill>
              <w14:schemeClr w14:val="tx1"/>
            </w14:solidFill>
          </w14:textFill>
        </w:rPr>
        <w:t>格式自拟，标明税率）</w:t>
      </w:r>
    </w:p>
    <w:p w14:paraId="42BDF047">
      <w:pPr>
        <w:pStyle w:val="15"/>
        <w:spacing w:line="360" w:lineRule="auto"/>
        <w:ind w:firstLine="420" w:firstLineChars="0"/>
        <w:rPr>
          <w:rFonts w:hint="eastAsia" w:ascii="Times New Roman" w:hAnsi="Times New Roman" w:eastAsia="仿宋" w:cs="仿宋"/>
          <w:color w:val="000000" w:themeColor="text1"/>
          <w:sz w:val="30"/>
          <w:szCs w:val="30"/>
          <w:lang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5、</w:t>
      </w:r>
      <w:r>
        <w:rPr>
          <w:rFonts w:hint="eastAsia" w:ascii="Times New Roman" w:hAnsi="Times New Roman" w:eastAsia="仿宋" w:cs="仿宋"/>
          <w:color w:val="000000" w:themeColor="text1"/>
          <w:sz w:val="30"/>
          <w:szCs w:val="30"/>
          <w14:textFill>
            <w14:solidFill>
              <w14:schemeClr w14:val="tx1"/>
            </w14:solidFill>
          </w14:textFill>
        </w:rPr>
        <w:t>交付承诺函</w:t>
      </w:r>
      <w:r>
        <w:rPr>
          <w:rFonts w:hint="eastAsia" w:ascii="Times New Roman" w:hAnsi="Times New Roman" w:eastAsia="仿宋" w:cs="仿宋"/>
          <w:color w:val="000000" w:themeColor="text1"/>
          <w:sz w:val="30"/>
          <w:szCs w:val="30"/>
          <w:lang w:eastAsia="zh-CN"/>
          <w14:textFill>
            <w14:solidFill>
              <w14:schemeClr w14:val="tx1"/>
            </w14:solidFill>
          </w14:textFill>
        </w:rPr>
        <w:t>（</w:t>
      </w:r>
      <w:r>
        <w:rPr>
          <w:rFonts w:hint="eastAsia" w:ascii="Times New Roman" w:hAnsi="Times New Roman" w:eastAsia="仿宋" w:cs="仿宋"/>
          <w:color w:val="000000" w:themeColor="text1"/>
          <w:sz w:val="30"/>
          <w:szCs w:val="30"/>
          <w:lang w:val="en-US" w:eastAsia="zh-CN"/>
          <w14:textFill>
            <w14:solidFill>
              <w14:schemeClr w14:val="tx1"/>
            </w14:solidFill>
          </w14:textFill>
        </w:rPr>
        <w:t>内容依据附件1的商务要求编制，若出现烟气或质量偏差，将承担所有损失，按照中标金额双倍金额进行赔付。格式自拟）</w:t>
      </w:r>
    </w:p>
    <w:p w14:paraId="7B4444BE">
      <w:pPr>
        <w:pStyle w:val="15"/>
        <w:spacing w:line="360" w:lineRule="auto"/>
        <w:ind w:firstLine="420" w:firstLineChars="0"/>
        <w:rPr>
          <w:rFonts w:hint="default"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6、项目方案（参考下述评分表进行编制，格式自拟）</w:t>
      </w:r>
    </w:p>
    <w:p w14:paraId="04A58774">
      <w:pPr>
        <w:pStyle w:val="2"/>
        <w:numPr>
          <w:ilvl w:val="0"/>
          <w:numId w:val="0"/>
        </w:numPr>
        <w:ind w:left="630" w:leftChars="0" w:firstLine="0" w:firstLineChars="0"/>
        <w:rPr>
          <w:rFonts w:hint="eastAsia" w:ascii="Times New Roman" w:hAnsi="Times New Roman" w:eastAsia="仿宋" w:cs="仿宋"/>
          <w:color w:val="000000" w:themeColor="text1"/>
          <w:sz w:val="30"/>
          <w:szCs w:val="30"/>
          <w:lang w:val="en-US" w:eastAsia="zh-CN"/>
          <w14:textFill>
            <w14:solidFill>
              <w14:schemeClr w14:val="tx1"/>
            </w14:solidFill>
          </w14:textFill>
        </w:rPr>
      </w:pPr>
    </w:p>
    <w:p w14:paraId="47F5357D">
      <w:pPr>
        <w:pStyle w:val="2"/>
        <w:numPr>
          <w:ilvl w:val="0"/>
          <w:numId w:val="0"/>
        </w:numPr>
        <w:ind w:left="630" w:leftChars="0" w:firstLine="0" w:firstLineChars="0"/>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二、参考评分表</w:t>
      </w:r>
    </w:p>
    <w:tbl>
      <w:tblPr>
        <w:tblStyle w:val="9"/>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383"/>
        <w:gridCol w:w="5949"/>
      </w:tblGrid>
      <w:tr w14:paraId="6FFF1A4E">
        <w:tc>
          <w:tcPr>
            <w:tcW w:w="975" w:type="dxa"/>
            <w:vAlign w:val="center"/>
          </w:tcPr>
          <w:p w14:paraId="5FE454B5">
            <w:pPr>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序号</w:t>
            </w:r>
          </w:p>
        </w:tc>
        <w:tc>
          <w:tcPr>
            <w:tcW w:w="1383" w:type="dxa"/>
            <w:vAlign w:val="center"/>
          </w:tcPr>
          <w:p w14:paraId="13CACC51">
            <w:pPr>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分项</w:t>
            </w:r>
          </w:p>
        </w:tc>
        <w:tc>
          <w:tcPr>
            <w:tcW w:w="5949" w:type="dxa"/>
            <w:vAlign w:val="center"/>
          </w:tcPr>
          <w:p w14:paraId="06A94414">
            <w:pPr>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评分内容及标准</w:t>
            </w:r>
          </w:p>
        </w:tc>
      </w:tr>
      <w:tr w14:paraId="5C54C893">
        <w:tc>
          <w:tcPr>
            <w:tcW w:w="975" w:type="dxa"/>
            <w:vAlign w:val="center"/>
          </w:tcPr>
          <w:p w14:paraId="38ECD3F1">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1</w:t>
            </w:r>
          </w:p>
        </w:tc>
        <w:tc>
          <w:tcPr>
            <w:tcW w:w="1383" w:type="dxa"/>
            <w:vAlign w:val="center"/>
          </w:tcPr>
          <w:p w14:paraId="5CF3D7F4">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报价</w:t>
            </w:r>
          </w:p>
          <w:p w14:paraId="400D02C8">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（30分）</w:t>
            </w:r>
          </w:p>
        </w:tc>
        <w:tc>
          <w:tcPr>
            <w:tcW w:w="5949" w:type="dxa"/>
            <w:vAlign w:val="top"/>
          </w:tcPr>
          <w:p w14:paraId="0D473D6B">
            <w:p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采用低价优先法计算，即满足招标文件要求且投标价格最低的投标报价为评标基准价，其价格分为满分。其他投标人的价格分按照下列公式计算（小数点保留两位）。</w:t>
            </w:r>
          </w:p>
          <w:p w14:paraId="259E26A5">
            <w:p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投标报价得分=(评标基准价／投标报价)×（30）</w:t>
            </w:r>
          </w:p>
        </w:tc>
      </w:tr>
      <w:tr w14:paraId="7682F9D5">
        <w:tc>
          <w:tcPr>
            <w:tcW w:w="975" w:type="dxa"/>
            <w:vAlign w:val="center"/>
          </w:tcPr>
          <w:p w14:paraId="20AB4558">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2</w:t>
            </w:r>
          </w:p>
        </w:tc>
        <w:tc>
          <w:tcPr>
            <w:tcW w:w="1383" w:type="dxa"/>
            <w:vAlign w:val="center"/>
          </w:tcPr>
          <w:p w14:paraId="5BC0CE6F">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技术性能</w:t>
            </w:r>
          </w:p>
          <w:p w14:paraId="3CC2DC92">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（50分）</w:t>
            </w:r>
          </w:p>
        </w:tc>
        <w:tc>
          <w:tcPr>
            <w:tcW w:w="5949" w:type="dxa"/>
            <w:vAlign w:val="top"/>
          </w:tcPr>
          <w:p w14:paraId="06AB11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根据附件1供应商所投产品的详细技术参数、技术证明材料、技术偏离情况进行分析打分。</w:t>
            </w:r>
          </w:p>
          <w:p w14:paraId="50B77B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其中标注●参数为重要参数，共计10项，每有一项不满足扣5分，共计50分。</w:t>
            </w:r>
          </w:p>
          <w:p w14:paraId="645265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注：投标人须提供技术证明材料：</w:t>
            </w:r>
          </w:p>
          <w:p w14:paraId="2DDAA7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1、若招标文件未明确要求何种证明材料，则以制造商公开发布的资料或检测机构出具的检测报告为准。若制造商公开发布的资料与检测机构出具的检测报告不一致，以检测机构出具的检测报告为准。</w:t>
            </w:r>
          </w:p>
          <w:p w14:paraId="1E6A62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2、每一条技术性能参数必须同时满足该条中所有要求，方可得分。</w:t>
            </w:r>
          </w:p>
          <w:p w14:paraId="6FAB7C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3、凡投标产品中的相关条款技术参数标明须提供技术证明材料的，投标人未按照以上要求提供技术证明材料者，该条技术参数响应在评审中不予认定。</w:t>
            </w:r>
          </w:p>
        </w:tc>
      </w:tr>
      <w:tr w14:paraId="16BFA010">
        <w:trPr>
          <w:trHeight w:val="90" w:hRule="atLeast"/>
        </w:trPr>
        <w:tc>
          <w:tcPr>
            <w:tcW w:w="975" w:type="dxa"/>
            <w:vAlign w:val="center"/>
          </w:tcPr>
          <w:p w14:paraId="7D92A337">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3</w:t>
            </w:r>
          </w:p>
        </w:tc>
        <w:tc>
          <w:tcPr>
            <w:tcW w:w="1383" w:type="dxa"/>
            <w:vAlign w:val="center"/>
          </w:tcPr>
          <w:p w14:paraId="720F7EC4">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产品业绩</w:t>
            </w:r>
          </w:p>
          <w:p w14:paraId="188B10B2">
            <w:pPr>
              <w:keepNext w:val="0"/>
              <w:keepLines w:val="0"/>
              <w:widowControl/>
              <w:suppressLineNumbers w:val="0"/>
              <w:spacing w:line="360" w:lineRule="auto"/>
              <w:jc w:val="both"/>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（2分）</w:t>
            </w:r>
          </w:p>
        </w:tc>
        <w:tc>
          <w:tcPr>
            <w:tcW w:w="5949" w:type="dxa"/>
            <w:vAlign w:val="top"/>
          </w:tcPr>
          <w:p w14:paraId="04EEE2E0">
            <w:p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2021年3月31日以来，投标人每提供一份核心产品的销售使用的供货业绩，得1分，满分2分。</w:t>
            </w:r>
          </w:p>
          <w:p w14:paraId="6CB356CF">
            <w:pPr>
              <w:keepNext w:val="0"/>
              <w:keepLines w:val="0"/>
              <w:widowControl/>
              <w:suppressLineNumbers w:val="0"/>
              <w:spacing w:line="360" w:lineRule="auto"/>
              <w:jc w:val="left"/>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注：</w:t>
            </w:r>
          </w:p>
          <w:p w14:paraId="1C76ED21">
            <w:pPr>
              <w:keepNext w:val="0"/>
              <w:keepLines w:val="0"/>
              <w:widowControl/>
              <w:suppressLineNumbers w:val="0"/>
              <w:spacing w:line="360" w:lineRule="auto"/>
              <w:jc w:val="left"/>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1、投标人须提供上述业绩的合同原件扫描件，时间以合同签订时间为准，合同应能辨识买卖双方公章、供货数量、签订时间、品牌规格型号（若合同中不能体现品牌规格型号，需另附买方出具的有效证明文件，加盖买方单位公章）；否则不得分。</w:t>
            </w:r>
          </w:p>
        </w:tc>
      </w:tr>
      <w:tr w14:paraId="4172CD8E">
        <w:trPr>
          <w:trHeight w:val="619" w:hRule="atLeast"/>
        </w:trPr>
        <w:tc>
          <w:tcPr>
            <w:tcW w:w="975" w:type="dxa"/>
            <w:vAlign w:val="center"/>
          </w:tcPr>
          <w:p w14:paraId="45E43901">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4</w:t>
            </w:r>
          </w:p>
        </w:tc>
        <w:tc>
          <w:tcPr>
            <w:tcW w:w="1383" w:type="dxa"/>
            <w:vAlign w:val="center"/>
          </w:tcPr>
          <w:p w14:paraId="65C58D89">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项目实施方案</w:t>
            </w:r>
          </w:p>
          <w:p w14:paraId="79DFD9D8">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（7分）</w:t>
            </w:r>
          </w:p>
        </w:tc>
        <w:tc>
          <w:tcPr>
            <w:tcW w:w="5949" w:type="dxa"/>
            <w:vAlign w:val="top"/>
          </w:tcPr>
          <w:p w14:paraId="1F0F088F">
            <w:p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对各投标人针对本项目的项目实施方案进行综合评审：</w:t>
            </w:r>
          </w:p>
          <w:p w14:paraId="2A729458">
            <w:pPr>
              <w:numPr>
                <w:ilvl w:val="0"/>
                <w:numId w:val="0"/>
              </w:num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1.包括项目理解、实施重点和风险分析、进度安排、整体供货及安装期限规划等，方案整体切合实际情况，进度安排、整体供货及安装期限规划步骤切实可行，优于项目采购需求的得7分；</w:t>
            </w:r>
          </w:p>
          <w:p w14:paraId="14A50FFA">
            <w:pPr>
              <w:numPr>
                <w:ilvl w:val="0"/>
                <w:numId w:val="0"/>
              </w:numPr>
              <w:spacing w:line="360" w:lineRule="auto"/>
              <w:ind w:left="0" w:leftChars="0" w:firstLine="0" w:firstLine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2.包括项目理解、实施重点和风险分析、进度安排、整体供货及安装期限规划等，方案整体合理，可行性强，进度安排、整体供货及安装期限规划步骤清晰，无明显逻辑错误的得3分；</w:t>
            </w:r>
          </w:p>
          <w:p w14:paraId="25DD2EE2">
            <w:pPr>
              <w:numPr>
                <w:ilvl w:val="0"/>
                <w:numId w:val="0"/>
              </w:numPr>
              <w:spacing w:line="360" w:lineRule="auto"/>
              <w:ind w:left="0" w:leftChars="0" w:firstLine="0" w:firstLine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3.包括项目理解、实施重点和风险分析、进度安排、整体供货及安装期限规划等，方案整体内容简单，进度安排、整体供货及安装期限规划步骤混乱欠缺，且出现非专门针对本项目特性内容的得1分；</w:t>
            </w:r>
          </w:p>
          <w:p w14:paraId="25727D82">
            <w:pPr>
              <w:numPr>
                <w:ilvl w:val="0"/>
                <w:numId w:val="0"/>
              </w:numPr>
              <w:spacing w:line="360" w:lineRule="auto"/>
              <w:ind w:left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4.方案不能满足项目实施要求或未提供相关内容的不得分。</w:t>
            </w:r>
          </w:p>
        </w:tc>
      </w:tr>
      <w:tr w14:paraId="256EEDB2">
        <w:trPr>
          <w:trHeight w:val="619" w:hRule="atLeast"/>
        </w:trPr>
        <w:tc>
          <w:tcPr>
            <w:tcW w:w="975" w:type="dxa"/>
            <w:vAlign w:val="center"/>
          </w:tcPr>
          <w:p w14:paraId="73BC0577">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5</w:t>
            </w:r>
          </w:p>
        </w:tc>
        <w:tc>
          <w:tcPr>
            <w:tcW w:w="1383" w:type="dxa"/>
            <w:shd w:val="clear" w:color="auto" w:fill="auto"/>
            <w:vAlign w:val="center"/>
          </w:tcPr>
          <w:p w14:paraId="5BD30D47">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售后服务方案</w:t>
            </w:r>
          </w:p>
          <w:p w14:paraId="7EFE144D">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（6分）</w:t>
            </w:r>
          </w:p>
        </w:tc>
        <w:tc>
          <w:tcPr>
            <w:tcW w:w="5949" w:type="dxa"/>
            <w:shd w:val="clear" w:color="auto" w:fill="auto"/>
            <w:vAlign w:val="top"/>
          </w:tcPr>
          <w:p w14:paraId="220CB56A">
            <w:p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对各投标人针对本项目的售后服务方案进行综合评审：</w:t>
            </w:r>
          </w:p>
          <w:p w14:paraId="3896E321">
            <w:pPr>
              <w:numPr>
                <w:ilvl w:val="0"/>
                <w:numId w:val="0"/>
              </w:num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1.方案内容详实周密、表述明确，售后服务管理制度完善，有具体切实可行的保障措施，售后人员配备充足、故障响应时间短，充分考虑服务响应时间、服务保证措施的得6分；</w:t>
            </w:r>
          </w:p>
          <w:p w14:paraId="705F7454">
            <w:pPr>
              <w:numPr>
                <w:ilvl w:val="0"/>
                <w:numId w:val="0"/>
              </w:numPr>
              <w:spacing w:line="360" w:lineRule="auto"/>
              <w:ind w:left="0" w:leftChars="0" w:firstLine="0" w:firstLine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2.方案内容完整、表述清晰，有保障措施，配备售后服务人员，服务响应时间、服务保证措施合理的得3分；</w:t>
            </w:r>
          </w:p>
          <w:p w14:paraId="29516BBC">
            <w:pPr>
              <w:numPr>
                <w:ilvl w:val="0"/>
                <w:numId w:val="0"/>
              </w:numPr>
              <w:spacing w:line="360" w:lineRule="auto"/>
              <w:ind w:left="0" w:leftChars="0" w:firstLine="0" w:firstLine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3.内容简单有待补充，配备售后服务人员可能无法保障项目需求，且出现了与项目不相关的内容的得1分；</w:t>
            </w:r>
          </w:p>
          <w:p w14:paraId="33CAAAFB">
            <w:pPr>
              <w:numPr>
                <w:ilvl w:val="0"/>
                <w:numId w:val="0"/>
              </w:numPr>
              <w:spacing w:line="360" w:lineRule="auto"/>
              <w:ind w:left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4.方案不能满足项目实施要求或未提供相关内容的不得分。</w:t>
            </w:r>
          </w:p>
        </w:tc>
      </w:tr>
      <w:tr w14:paraId="107D2506">
        <w:trPr>
          <w:trHeight w:val="619" w:hRule="atLeast"/>
        </w:trPr>
        <w:tc>
          <w:tcPr>
            <w:tcW w:w="975" w:type="dxa"/>
            <w:vAlign w:val="center"/>
          </w:tcPr>
          <w:p w14:paraId="78DCC8FD">
            <w:pPr>
              <w:keepNext w:val="0"/>
              <w:keepLines w:val="0"/>
              <w:widowControl/>
              <w:suppressLineNumbers w:val="0"/>
              <w:spacing w:line="360" w:lineRule="auto"/>
              <w:jc w:val="center"/>
              <w:rPr>
                <w:rFonts w:hint="default"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6</w:t>
            </w:r>
          </w:p>
        </w:tc>
        <w:tc>
          <w:tcPr>
            <w:tcW w:w="1383" w:type="dxa"/>
            <w:shd w:val="clear" w:color="auto" w:fill="auto"/>
            <w:vAlign w:val="center"/>
          </w:tcPr>
          <w:p w14:paraId="6262BC67">
            <w:pPr>
              <w:keepNext w:val="0"/>
              <w:keepLines w:val="0"/>
              <w:widowControl/>
              <w:suppressLineNumbers w:val="0"/>
              <w:spacing w:line="360" w:lineRule="auto"/>
              <w:jc w:val="cente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故障应急处置预案（5分）</w:t>
            </w:r>
          </w:p>
        </w:tc>
        <w:tc>
          <w:tcPr>
            <w:tcW w:w="5949" w:type="dxa"/>
            <w:shd w:val="clear" w:color="auto" w:fill="auto"/>
            <w:vAlign w:val="top"/>
          </w:tcPr>
          <w:p w14:paraId="12A03310">
            <w:p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根据投标文件中提供的故障应急处置预案：</w:t>
            </w:r>
          </w:p>
          <w:p w14:paraId="2DB90105">
            <w:pPr>
              <w:numPr>
                <w:ilvl w:val="0"/>
                <w:numId w:val="0"/>
              </w:numPr>
              <w:spacing w:line="360" w:lineRule="auto"/>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1.方案完全切合实际情况，内容全面，充分满足项目应急要求、充分考虑服务机构、人员设置、相关质量技术保证措施等因素的得5分；</w:t>
            </w:r>
          </w:p>
          <w:p w14:paraId="12DDF9EE">
            <w:pPr>
              <w:numPr>
                <w:ilvl w:val="0"/>
                <w:numId w:val="0"/>
              </w:numPr>
              <w:spacing w:line="360" w:lineRule="auto"/>
              <w:ind w:left="0" w:leftChars="0" w:firstLine="0" w:firstLine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2.方案简单可行，满足项目应急要求的得2分；</w:t>
            </w:r>
          </w:p>
          <w:p w14:paraId="125BCC00">
            <w:pPr>
              <w:numPr>
                <w:ilvl w:val="0"/>
                <w:numId w:val="0"/>
              </w:numPr>
              <w:spacing w:line="360" w:lineRule="auto"/>
              <w:ind w:leftChars="0"/>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t>3.方案不能满足项目实施要求或未提供相关内容的不得分。</w:t>
            </w:r>
          </w:p>
        </w:tc>
      </w:tr>
    </w:tbl>
    <w:p w14:paraId="25074CF6">
      <w:pPr>
        <w:pStyle w:val="2"/>
        <w:numPr>
          <w:ilvl w:val="0"/>
          <w:numId w:val="0"/>
        </w:numPr>
        <w:ind w:leftChars="0"/>
        <w:rPr>
          <w:rFonts w:hint="default" w:ascii="Times New Roman" w:hAnsi="Times New Roman" w:eastAsia="仿宋" w:cs="仿宋"/>
          <w:color w:val="000000" w:themeColor="text1"/>
          <w:kern w:val="2"/>
          <w:sz w:val="30"/>
          <w:szCs w:val="30"/>
          <w:lang w:val="en-US" w:eastAsia="zh-CN" w:bidi="ar-SA"/>
          <w14:textFill>
            <w14:solidFill>
              <w14:schemeClr w14:val="tx1"/>
            </w14:solidFill>
          </w14:textFill>
        </w:rPr>
      </w:pPr>
    </w:p>
    <w:p w14:paraId="6BCF4448">
      <w:pPr>
        <w:rPr>
          <w:rFonts w:hint="eastAsia" w:ascii="Times New Roman" w:hAnsi="Times New Roman" w:eastAsia="仿宋" w:cs="仿宋"/>
          <w:color w:val="000000" w:themeColor="text1"/>
          <w:kern w:val="2"/>
          <w:sz w:val="30"/>
          <w:szCs w:val="30"/>
          <w:lang w:val="en-US" w:eastAsia="zh-CN" w:bidi="ar-SA"/>
          <w14:textFill>
            <w14:solidFill>
              <w14:schemeClr w14:val="tx1"/>
            </w14:solidFill>
          </w14:textFill>
        </w:rPr>
      </w:pPr>
    </w:p>
    <w:p w14:paraId="1F38893C">
      <w:pPr>
        <w:spacing w:line="360" w:lineRule="auto"/>
        <w:ind w:firstLine="600" w:firstLineChars="200"/>
        <w:rPr>
          <w:rFonts w:hint="eastAsia" w:ascii="仿宋_GB2312" w:hAnsi="仿宋_GB2312" w:eastAsia="仿宋_GB2312" w:cs="仿宋_GB2312"/>
          <w:sz w:val="30"/>
          <w:szCs w:val="30"/>
          <w:lang w:val="en-US" w:eastAsia="zh-CN"/>
        </w:rPr>
      </w:pPr>
    </w:p>
    <w:p w14:paraId="317B1FD2">
      <w:pPr>
        <w:pStyle w:val="2"/>
        <w:numPr>
          <w:ilvl w:val="0"/>
          <w:numId w:val="0"/>
        </w:numPr>
        <w:ind w:leftChars="0"/>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A73D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FB11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B9FB11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5ZDE0YjEzOTVhODRkNWQ4OWZhY2M2NjczNjE1NDkifQ=="/>
  </w:docVars>
  <w:rsids>
    <w:rsidRoot w:val="00687E5A"/>
    <w:rsid w:val="00036A30"/>
    <w:rsid w:val="00037AD7"/>
    <w:rsid w:val="00042F3C"/>
    <w:rsid w:val="000749B6"/>
    <w:rsid w:val="000B6F95"/>
    <w:rsid w:val="000D198C"/>
    <w:rsid w:val="000D3E29"/>
    <w:rsid w:val="000E03BE"/>
    <w:rsid w:val="000E70DD"/>
    <w:rsid w:val="00142690"/>
    <w:rsid w:val="0014723C"/>
    <w:rsid w:val="001766E4"/>
    <w:rsid w:val="00177D9E"/>
    <w:rsid w:val="001824CA"/>
    <w:rsid w:val="001928DB"/>
    <w:rsid w:val="0022662D"/>
    <w:rsid w:val="00257209"/>
    <w:rsid w:val="0026166E"/>
    <w:rsid w:val="002935D7"/>
    <w:rsid w:val="002F38DA"/>
    <w:rsid w:val="00316E0F"/>
    <w:rsid w:val="003B7C3B"/>
    <w:rsid w:val="003C00B8"/>
    <w:rsid w:val="0042323F"/>
    <w:rsid w:val="004D6095"/>
    <w:rsid w:val="005137D6"/>
    <w:rsid w:val="005A2C46"/>
    <w:rsid w:val="005C0BF5"/>
    <w:rsid w:val="0064692D"/>
    <w:rsid w:val="00653960"/>
    <w:rsid w:val="00676A0C"/>
    <w:rsid w:val="00687E5A"/>
    <w:rsid w:val="00724535"/>
    <w:rsid w:val="00750881"/>
    <w:rsid w:val="0075170F"/>
    <w:rsid w:val="007536B2"/>
    <w:rsid w:val="007638E7"/>
    <w:rsid w:val="007F22A2"/>
    <w:rsid w:val="00857272"/>
    <w:rsid w:val="00874866"/>
    <w:rsid w:val="008A4D4E"/>
    <w:rsid w:val="008E3110"/>
    <w:rsid w:val="009041E9"/>
    <w:rsid w:val="00905E4D"/>
    <w:rsid w:val="00971B04"/>
    <w:rsid w:val="00993EA3"/>
    <w:rsid w:val="009A7FF2"/>
    <w:rsid w:val="009F38D1"/>
    <w:rsid w:val="00A15ADB"/>
    <w:rsid w:val="00A56BBA"/>
    <w:rsid w:val="00A91BE1"/>
    <w:rsid w:val="00AB5DEA"/>
    <w:rsid w:val="00AD2F15"/>
    <w:rsid w:val="00AE7BE8"/>
    <w:rsid w:val="00B050CA"/>
    <w:rsid w:val="00B21D72"/>
    <w:rsid w:val="00B5493B"/>
    <w:rsid w:val="00B54D17"/>
    <w:rsid w:val="00B62E07"/>
    <w:rsid w:val="00B77424"/>
    <w:rsid w:val="00B8242F"/>
    <w:rsid w:val="00C03276"/>
    <w:rsid w:val="00C3258A"/>
    <w:rsid w:val="00C3769E"/>
    <w:rsid w:val="00C410D5"/>
    <w:rsid w:val="00C667AF"/>
    <w:rsid w:val="00C93EA1"/>
    <w:rsid w:val="00CC1AB4"/>
    <w:rsid w:val="00CE0ACC"/>
    <w:rsid w:val="00D0665F"/>
    <w:rsid w:val="00D568D6"/>
    <w:rsid w:val="00D65AE5"/>
    <w:rsid w:val="00D91504"/>
    <w:rsid w:val="00DA27BC"/>
    <w:rsid w:val="00DF2F59"/>
    <w:rsid w:val="00E1286B"/>
    <w:rsid w:val="00E464F6"/>
    <w:rsid w:val="00E65A75"/>
    <w:rsid w:val="00EB7AB7"/>
    <w:rsid w:val="00F47DC7"/>
    <w:rsid w:val="00F64F79"/>
    <w:rsid w:val="318D5473"/>
    <w:rsid w:val="36CF4566"/>
    <w:rsid w:val="406A0E28"/>
    <w:rsid w:val="4EFFE6A8"/>
    <w:rsid w:val="5B7B3036"/>
    <w:rsid w:val="5B7F188F"/>
    <w:rsid w:val="5FFF2B3B"/>
    <w:rsid w:val="73C244BA"/>
    <w:rsid w:val="7BFB87A5"/>
    <w:rsid w:val="CFA673E9"/>
    <w:rsid w:val="EFBF2165"/>
    <w:rsid w:val="FD9E54D6"/>
    <w:rsid w:val="FFBB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4"/>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color w:val="000000"/>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0"/>
    <w:rPr>
      <w:sz w:val="18"/>
      <w:szCs w:val="18"/>
    </w:rPr>
  </w:style>
  <w:style w:type="character" w:customStyle="1" w:styleId="14">
    <w:name w:val="标题 2 字符"/>
    <w:basedOn w:val="10"/>
    <w:link w:val="4"/>
    <w:qFormat/>
    <w:uiPriority w:val="0"/>
    <w:rPr>
      <w:rFonts w:ascii="Arial" w:hAnsi="Arial" w:eastAsia="黑体"/>
      <w:b/>
      <w:sz w:val="32"/>
      <w:szCs w:val="24"/>
    </w:rPr>
  </w:style>
  <w:style w:type="paragraph" w:customStyle="1" w:styleId="15">
    <w:name w:val="列出段落1"/>
    <w:basedOn w:val="1"/>
    <w:qFormat/>
    <w:uiPriority w:val="99"/>
    <w:pPr>
      <w:ind w:firstLine="420" w:firstLineChars="200"/>
    </w:pPr>
  </w:style>
  <w:style w:type="character" w:customStyle="1" w:styleId="16">
    <w:name w:val="标题 1 字符"/>
    <w:basedOn w:val="10"/>
    <w:link w:val="3"/>
    <w:qFormat/>
    <w:uiPriority w:val="9"/>
    <w:rPr>
      <w:b/>
      <w:bCs/>
      <w:kern w:val="44"/>
      <w:sz w:val="44"/>
      <w:szCs w:val="44"/>
    </w:rPr>
  </w:style>
  <w:style w:type="character" w:customStyle="1" w:styleId="17">
    <w:name w:val="font11"/>
    <w:basedOn w:val="10"/>
    <w:qFormat/>
    <w:uiPriority w:val="0"/>
    <w:rPr>
      <w:rFonts w:hint="eastAsia" w:ascii="仿宋" w:hAnsi="仿宋" w:eastAsia="仿宋" w:cs="仿宋"/>
      <w:b/>
      <w:bCs/>
      <w:color w:val="000000"/>
      <w:sz w:val="30"/>
      <w:szCs w:val="30"/>
      <w:u w:val="none"/>
    </w:rPr>
  </w:style>
  <w:style w:type="character" w:customStyle="1" w:styleId="18">
    <w:name w:val="font31"/>
    <w:basedOn w:val="10"/>
    <w:qFormat/>
    <w:uiPriority w:val="0"/>
    <w:rPr>
      <w:rFonts w:hint="eastAsia" w:ascii="仿宋" w:hAnsi="仿宋" w:eastAsia="仿宋" w:cs="仿宋"/>
      <w:color w:val="000000"/>
      <w:sz w:val="30"/>
      <w:szCs w:val="30"/>
      <w:u w:val="none"/>
    </w:rPr>
  </w:style>
  <w:style w:type="character" w:customStyle="1" w:styleId="19">
    <w:name w:val="font21"/>
    <w:basedOn w:val="10"/>
    <w:qFormat/>
    <w:uiPriority w:val="0"/>
    <w:rPr>
      <w:rFonts w:hint="default" w:ascii="Times New Roman" w:hAnsi="Times New Roman" w:cs="Times New Roman"/>
      <w:color w:val="00000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2830</Words>
  <Characters>3084</Characters>
  <Lines>24</Lines>
  <Paragraphs>6</Paragraphs>
  <TotalTime>0</TotalTime>
  <ScaleCrop>false</ScaleCrop>
  <LinksUpToDate>false</LinksUpToDate>
  <CharactersWithSpaces>3131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2024-02-01T00:37:00Z</dcterms:created>
  <dc:creator>Microsoft</dc:creator>
  <cp:lastModifiedBy>kong~</cp:lastModifiedBy>
  <dcterms:modified xsi:type="dcterms:W3CDTF">2026-04-14T21:34:36Z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06CBE6CA7331FF5FD909DE69FAFB7A8C_43</vt:lpwstr>
  </property>
  <property fmtid="{D5CDD505-2E9C-101B-9397-08002B2CF9AE}" pid="4" name="KSOTemplateDocerSaveRecord">
    <vt:lpwstr>eyJoZGlkIjoiYjliZWI5NTQwMTRjY2JkOGI1ZDM0N2FiMTlkZjk1YjMiLCJ1c2VySWQiOiIyMDA2OTc3NzMifQ==</vt:lpwstr>
  </property>
</Properties>
</file>