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BAB6E">
      <w:pP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bookmarkStart w:id="3" w:name="_GoBack"/>
      <w:bookmarkEnd w:id="3"/>
    </w:p>
    <w:p w14:paraId="1D27C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100" w:line="240" w:lineRule="auto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" w:cs="仿宋"/>
          <w:b/>
          <w:color w:val="auto"/>
          <w:kern w:val="0"/>
          <w:sz w:val="24"/>
          <w:szCs w:val="24"/>
          <w:highlight w:val="none"/>
          <w:lang w:val="en-US"/>
        </w:rPr>
      </w:pPr>
      <w:r>
        <w:rPr>
          <w:rFonts w:hint="eastAsia" w:ascii="Times New Roman" w:hAnsi="Times New Roman" w:eastAsia="黑体" w:cs="黑体"/>
          <w:b w:val="0"/>
          <w:bCs/>
          <w:kern w:val="0"/>
          <w:sz w:val="32"/>
          <w:szCs w:val="32"/>
          <w:lang w:val="en-US" w:eastAsia="zh-CN"/>
        </w:rPr>
        <w:t>附件一：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服务采购需求说明</w:t>
      </w:r>
    </w:p>
    <w:tbl>
      <w:tblPr>
        <w:tblStyle w:val="5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891"/>
        <w:gridCol w:w="6840"/>
        <w:gridCol w:w="581"/>
        <w:gridCol w:w="581"/>
        <w:gridCol w:w="581"/>
      </w:tblGrid>
      <w:tr w14:paraId="496F463A">
        <w:trPr>
          <w:trHeight w:val="0" w:hRule="atLeast"/>
          <w:jc w:val="center"/>
        </w:trPr>
        <w:tc>
          <w:tcPr>
            <w:tcW w:w="581" w:type="dxa"/>
            <w:noWrap w:val="0"/>
            <w:vAlign w:val="center"/>
          </w:tcPr>
          <w:p w14:paraId="782C4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891" w:type="dxa"/>
            <w:noWrap w:val="0"/>
            <w:vAlign w:val="center"/>
          </w:tcPr>
          <w:p w14:paraId="30629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6840" w:type="dxa"/>
            <w:noWrap w:val="0"/>
            <w:vAlign w:val="center"/>
          </w:tcPr>
          <w:p w14:paraId="7859F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服务要求</w:t>
            </w:r>
          </w:p>
        </w:tc>
        <w:tc>
          <w:tcPr>
            <w:tcW w:w="581" w:type="dxa"/>
            <w:noWrap w:val="0"/>
            <w:vAlign w:val="center"/>
          </w:tcPr>
          <w:p w14:paraId="56A3C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581" w:type="dxa"/>
            <w:noWrap w:val="0"/>
            <w:vAlign w:val="center"/>
          </w:tcPr>
          <w:p w14:paraId="4FD50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581" w:type="dxa"/>
            <w:noWrap w:val="0"/>
            <w:vAlign w:val="center"/>
          </w:tcPr>
          <w:p w14:paraId="1A087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7D743F35">
        <w:trPr>
          <w:trHeight w:val="0" w:hRule="atLeast"/>
          <w:jc w:val="center"/>
        </w:trPr>
        <w:tc>
          <w:tcPr>
            <w:tcW w:w="581" w:type="dxa"/>
            <w:noWrap w:val="0"/>
            <w:vAlign w:val="center"/>
          </w:tcPr>
          <w:p w14:paraId="6F34B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91" w:type="dxa"/>
            <w:noWrap w:val="0"/>
            <w:vAlign w:val="center"/>
          </w:tcPr>
          <w:p w14:paraId="62EF5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运维服务</w:t>
            </w:r>
          </w:p>
        </w:tc>
        <w:tc>
          <w:tcPr>
            <w:tcW w:w="6840" w:type="dxa"/>
            <w:noWrap w:val="0"/>
            <w:vAlign w:val="center"/>
          </w:tcPr>
          <w:p w14:paraId="57224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bookmarkStart w:id="0" w:name="heading_12"/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网络安全运维</w:t>
            </w:r>
            <w:bookmarkEnd w:id="0"/>
          </w:p>
          <w:p w14:paraId="1D13E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日常运行监控：7×24小时实时监控安全防护设备CPU、内存、接口流量、会话连接数、策略命中情况、威胁拦截日志等核心运行指标，异常情况即时告警、快速排查，杜绝设备宕机、防护失效问题。</w:t>
            </w:r>
          </w:p>
          <w:p w14:paraId="6C7ED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配置与策略运维：定期备份设备配置文件、安全策略文件，支持配置快速恢复；定期优化冗余策略、更新安全特征库（IPS／AV／URL库等）、升级系统固件版本，保证安全防护能力持续更新；根据采购人业务调整，免费优化调整安全策略，保障业务正常流转。</w:t>
            </w:r>
          </w:p>
          <w:p w14:paraId="0E0F7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安全防护与审计：实时拦截网络入侵、勒索病毒、恶意攻击、非法访问等安全威胁，严格按照以下频次开展安全检测工作：每月开展1次漏洞扫描，全面排查安全防护设备及关联网络的安全隐患；每6个月开展1次渗透测试，模拟真实攻击场景，全面检测网络安全防护漏洞与薄弱环节；每次检测后及时形成漏洞扫描报告、渗透测试报告，明确整改建议并协助采购人落实整改；定期生成安全威胁分析报告、日志审计报告，安全日志留存不少于6个月，配合采购人完成等保测评、安全检查、合规审计等工作，提供全套技术支撑材料。</w:t>
            </w:r>
          </w:p>
          <w:p w14:paraId="04F80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故障应急处置：针对安全防护设备硬件故障、系统故障、策略故障、网络对接故障及漏洞、攻击引发的安全事件，提供专属应急响应，第一时间排查修复，重大故障同步对接原厂技术支持，快速解决问题；事后形成故障分析、复盘报告，避免同类问题重复发生。</w:t>
            </w:r>
          </w:p>
          <w:p w14:paraId="14EB2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bookmarkStart w:id="1" w:name="heading_13"/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算力服务器运维服务</w:t>
            </w:r>
            <w:bookmarkEnd w:id="1"/>
          </w:p>
          <w:p w14:paraId="5C41C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聚焦采购人算力服务器核心业务需求，提供全流程系统运维与技术支持，保障算力业务不间断运行，核心内容如下：</w:t>
            </w:r>
          </w:p>
          <w:p w14:paraId="032F5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系统运维（核心板块）：负责服务器操作系统（Linux／CentOS／Ubuntu／Windows等）日常维护、系统加固、补丁更新、账户权限管理、进程管控、日志分析清理；优化系统参数，提升算力运行效率，解决系统卡顿、死机、报错等各类系统故障，保证系统稳定运行。</w:t>
            </w:r>
          </w:p>
          <w:p w14:paraId="00923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算力业务运维：监控算力服务器CPU、GPU、内存、磁盘I／O、算力负载等核心指标，排查算力调度异常、任务执行失败、算力资源浪费等问题；协助优化算力分配方案，保障算力业务高效稳定输出，满足采购人业务算力需求。</w:t>
            </w:r>
          </w:p>
          <w:p w14:paraId="67F8E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硬件辅助运维：通过BMC／IPMI远程监控服务器硬件状态（电源、风扇、温度、硬盘、网卡等），提前预警硬件故障隐患；协助采购人完成硬件故障定位、备件更换对接、业务迁移等工作，缩短硬件故障导致的业务中断时间。</w:t>
            </w:r>
          </w:p>
          <w:p w14:paraId="374FF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网络协同运维：配合安全防护设备，调试服务器网络配置、网卡绑定、VLAN划分、路由策略等，保障服务器网络连通性、带宽稳定性；排查服务器网络丢包、延迟、访问异常等问题，实现算力服务器与安全防护平台网络协同无死角。</w:t>
            </w:r>
          </w:p>
          <w:p w14:paraId="22AB8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数据与备份运维：协助制定服务器数据备份策略，定期检查备份文件完整性、可用性，指导数据恢复操作；保障服务器存储阵列、文件系统正常运行，排查存储故障，防范数据丢失风险。</w:t>
            </w:r>
          </w:p>
          <w:p w14:paraId="10F3A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bookmarkStart w:id="2" w:name="heading_14"/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通用技术支持服务</w:t>
            </w:r>
            <w:bookmarkEnd w:id="2"/>
          </w:p>
          <w:p w14:paraId="14FA8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提供7×24小时专属技术咨询热线、远程运维通道，安排固定运维对接人员，全程一对一服务，响应采购人各类技术咨询、操作指导需求。</w:t>
            </w:r>
          </w:p>
          <w:p w14:paraId="09D67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固定运维人员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不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少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于2名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根据临时性任务需要，机动提供不少于4名的临时服务团队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。</w:t>
            </w:r>
          </w:p>
          <w:p w14:paraId="6929C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定期开展现场巡检，每月至少1次全面现场巡检，每季度开展1次深度安全巡检与性能优化，出具巡检报告、隐患整改建议，提前规避运行风险。</w:t>
            </w:r>
          </w:p>
          <w:p w14:paraId="729E5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免费提供基础操作培训，指导采购人相关人员掌握安全防护设备基础操作、算力服务器日常监控方法、简单故障排查技巧。</w:t>
            </w:r>
          </w:p>
        </w:tc>
        <w:tc>
          <w:tcPr>
            <w:tcW w:w="581" w:type="dxa"/>
            <w:noWrap w:val="0"/>
            <w:vAlign w:val="center"/>
          </w:tcPr>
          <w:p w14:paraId="36AF1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81" w:type="dxa"/>
            <w:noWrap w:val="0"/>
            <w:vAlign w:val="center"/>
          </w:tcPr>
          <w:p w14:paraId="27A2E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581" w:type="dxa"/>
            <w:noWrap w:val="0"/>
            <w:vAlign w:val="center"/>
          </w:tcPr>
          <w:p w14:paraId="2E05E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0DDF674">
        <w:trPr>
          <w:trHeight w:val="0" w:hRule="atLeast"/>
          <w:jc w:val="center"/>
        </w:trPr>
        <w:tc>
          <w:tcPr>
            <w:tcW w:w="581" w:type="dxa"/>
            <w:shd w:val="clear" w:color="auto" w:fill="auto"/>
            <w:noWrap w:val="0"/>
            <w:vAlign w:val="center"/>
          </w:tcPr>
          <w:p w14:paraId="21BB8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91" w:type="dxa"/>
            <w:shd w:val="clear" w:color="auto" w:fill="auto"/>
            <w:noWrap w:val="0"/>
            <w:vAlign w:val="center"/>
          </w:tcPr>
          <w:p w14:paraId="1EB17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防火墙</w:t>
            </w:r>
          </w:p>
        </w:tc>
        <w:tc>
          <w:tcPr>
            <w:tcW w:w="6840" w:type="dxa"/>
            <w:shd w:val="clear" w:color="auto" w:fill="auto"/>
            <w:noWrap w:val="0"/>
            <w:vAlign w:val="center"/>
          </w:tcPr>
          <w:p w14:paraId="6C527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1、标准1U机架设备，网络层吞吐量≥10G，应用层吞吐量≥5G，防病毒吞吐量≥1G，IPS吞吐量≥1G，全威胁吞吐量≥800M，并发连接数≥200万，HTTP新建连接数≥6万，内存大小≥8G，硬盘容量≥128G SSD，接口≥8千兆电口、≥2万兆光口。配置IPS、AV、云威胁防护模块。</w:t>
            </w:r>
          </w:p>
          <w:p w14:paraId="359E8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2、产品支持路由模式、透明模式、虚拟网线模式、旁路镜像模式等多种部署方式。</w:t>
            </w:r>
          </w:p>
          <w:p w14:paraId="36D95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3、产品支持静态路由、策略路由和多播路由协议，并支持BGP、RIP、OSPF等动态路由协议。</w:t>
            </w:r>
          </w:p>
          <w:p w14:paraId="0032D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4、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◆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产品应具备独立的勒索病毒防护模块，非普通防病毒功能，支持对特定的业务进行勒索风险自动化评估，并依据评估结果自动生成防护策略。（需提供产品功能截图证明并出具关于“勒索病毒”的软件著作权证明功能有效性）。</w:t>
            </w:r>
          </w:p>
          <w:p w14:paraId="175BB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5、产品支持基于应用、服务、时间、域名、IPv6对象等维度的访问控制。</w:t>
            </w:r>
          </w:p>
          <w:p w14:paraId="07929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6、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◆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产品支持云威胁情报网关技术，通过全球超过30+pop节点，实现对威胁流量就近进行实时检测&amp;拦截，实现失陷外联实时阻断，保护资产安全。（需提供产品功能截图证明并提供POP节点在线查询链接和具备CMA/CNAS标识的第三方检测报告）</w:t>
            </w:r>
          </w:p>
          <w:p w14:paraId="434C9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7、产品支持基于IMAP、FTP、RDP、VNC、SSH、TELNET、ORACLE、MYSQL、MSSQL等应用协议进行深度检测与防护。</w:t>
            </w:r>
          </w:p>
          <w:p w14:paraId="41E30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8、产品支持云端未知威胁主动探测技术，实现5min内未知威胁情报全网设备下发。</w:t>
            </w:r>
          </w:p>
          <w:p w14:paraId="2FBC5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9、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◆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产品支持策略生命周期管理功能，支持对安全策略修改的时间、原因、变更类型进行统一管理，便于策略的运维与管理。（需提供产品功能截图证明并提供具备CMA/CNAS标识的第三方检测报告）</w:t>
            </w:r>
          </w:p>
          <w:p w14:paraId="473BE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10、产品支持基于网络区域、网络对象、MAC地址、服务、应用、域名等维度进行访问控制策略设置。</w:t>
            </w:r>
          </w:p>
          <w:p w14:paraId="63903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11、产品支持多种安全日志存储方式，至少包括防火墙本机、日志服务器等不同方式。</w:t>
            </w:r>
          </w:p>
          <w:p w14:paraId="02CC9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◆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要求提供原厂出具的针对本项目的授权书、服务承诺函。</w:t>
            </w:r>
          </w:p>
        </w:tc>
        <w:tc>
          <w:tcPr>
            <w:tcW w:w="581" w:type="dxa"/>
            <w:shd w:val="clear" w:color="auto" w:fill="auto"/>
            <w:noWrap w:val="0"/>
            <w:vAlign w:val="center"/>
          </w:tcPr>
          <w:p w14:paraId="72FE0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81" w:type="dxa"/>
            <w:shd w:val="clear" w:color="auto" w:fill="auto"/>
            <w:noWrap w:val="0"/>
            <w:vAlign w:val="center"/>
          </w:tcPr>
          <w:p w14:paraId="60528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581" w:type="dxa"/>
            <w:shd w:val="clear" w:color="auto" w:fill="auto"/>
            <w:noWrap w:val="0"/>
            <w:vAlign w:val="center"/>
          </w:tcPr>
          <w:p w14:paraId="49289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10EEDCB">
        <w:trPr>
          <w:trHeight w:val="0" w:hRule="atLeast"/>
          <w:jc w:val="center"/>
        </w:trPr>
        <w:tc>
          <w:tcPr>
            <w:tcW w:w="581" w:type="dxa"/>
            <w:noWrap w:val="0"/>
            <w:vAlign w:val="center"/>
          </w:tcPr>
          <w:p w14:paraId="31BC5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91" w:type="dxa"/>
            <w:noWrap w:val="0"/>
            <w:vAlign w:val="center"/>
          </w:tcPr>
          <w:p w14:paraId="0492D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安全运维管控平台</w:t>
            </w:r>
          </w:p>
        </w:tc>
        <w:tc>
          <w:tcPr>
            <w:tcW w:w="6840" w:type="dxa"/>
            <w:noWrap w:val="0"/>
            <w:vAlign w:val="center"/>
          </w:tcPr>
          <w:p w14:paraId="6A735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1、纯软件形态，虚拟机部署，集成软路由软件、ESXi 虚拟化管控、堡垒机软件、软件防火墙一体化管控能力，无需专用硬件设备。</w:t>
            </w:r>
          </w:p>
          <w:p w14:paraId="61E49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2、软路由软件：支持路由 / 透明 / 虚拟网线 / 旁路镜像多部署模式；支持静态路由、策略路由及 BGP、RIP、OSPF 动态路由协议；具备多线负载均衡、带宽管控、IPv6、流量镜像引流能力，纳入平台 7×24 小时监控、配置自动备份、异常告警。</w:t>
            </w:r>
          </w:p>
          <w:p w14:paraId="250E8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3、ESXi 虚拟化管控：纯软件纳管全量 ESXi 主机及虚拟机，支持集群管理、虚拟机创建 / 克隆 / 快照 / 热迁移 / HA 高可用；实时监控主机及虚拟机 CPU、内存、磁盘、负载、进程日志；支持 IPMI/BMC 接口硬件状态监控、系统加固、补丁更新、账号权限管控。</w:t>
            </w:r>
          </w:p>
          <w:p w14:paraId="028C5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4、堡垒机软件（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开源版本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）：纯软件虚拟机部署，纳管网络、虚拟化、服务器、数据库全资产；支持 SSH、RDP、TELNET、FTP、ORACLE、MYSQL、MSSQL 等全协议运维审计；统一账号单点登录、权限分级、操作录像、高危命令拦截；运维日志留存不少于 6 个月，支持等保合规审计、报表自动生成、异常行为告警溯源。</w:t>
            </w:r>
          </w:p>
          <w:p w14:paraId="3344D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5、软件防火墙（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正版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）：完全对标硬件防火墙功能规格，纯软件虚拟化部署；具备网络层 / 应用层 / 防病毒 / IPS 吞吐量、并发连接、内存硬盘资源适配；内置 IPS、AV、云威胁防护、独立勒索病毒防护模块，支持勒索风险自动化评估及自动生成防护策略；支持全球 30+pop 节点云威胁情报网关、5 分钟未知威胁情报全网下发；支持多维度访问控制、策略生命周期管理、多方式日志存储；可提供功能截图、软件著作权、CMA/CNAS 检测报告、原厂授权，提供 3 年免费软件质保及 3 年威胁特征库升级。</w:t>
            </w:r>
          </w:p>
          <w:p w14:paraId="4D5DD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6、平台具备 7×24 小时全网运行监控、配置自动备份与快速恢复、安全策略定期优化、特征库及固件版本升级；每月漏洞扫描、每半年渗透测试，输出专业报告并协助整改；支持故障应急处置、事后复盘，每月现场巡检、季度深度性能优化，提供操作及故障排查培训服务。</w:t>
            </w:r>
          </w:p>
        </w:tc>
        <w:tc>
          <w:tcPr>
            <w:tcW w:w="581" w:type="dxa"/>
            <w:noWrap w:val="0"/>
            <w:vAlign w:val="center"/>
          </w:tcPr>
          <w:p w14:paraId="32D09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81" w:type="dxa"/>
            <w:noWrap w:val="0"/>
            <w:vAlign w:val="center"/>
          </w:tcPr>
          <w:p w14:paraId="48F83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81" w:type="dxa"/>
            <w:noWrap w:val="0"/>
            <w:vAlign w:val="center"/>
          </w:tcPr>
          <w:p w14:paraId="77FA2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86CEBE4">
        <w:trPr>
          <w:trHeight w:val="0" w:hRule="atLeast"/>
          <w:jc w:val="center"/>
        </w:trPr>
        <w:tc>
          <w:tcPr>
            <w:tcW w:w="581" w:type="dxa"/>
            <w:noWrap w:val="0"/>
            <w:vAlign w:val="center"/>
          </w:tcPr>
          <w:p w14:paraId="259EF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91" w:type="dxa"/>
            <w:noWrap w:val="0"/>
            <w:vAlign w:val="center"/>
          </w:tcPr>
          <w:p w14:paraId="23CE4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算力平台</w:t>
            </w:r>
          </w:p>
        </w:tc>
        <w:tc>
          <w:tcPr>
            <w:tcW w:w="6840" w:type="dxa"/>
            <w:noWrap w:val="0"/>
            <w:vAlign w:val="center"/>
          </w:tcPr>
          <w:p w14:paraId="33D30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1、基于Higress原生架构纯软件容器化部署，采用控制平面 + 数据平面 + 管理控制台架构，适配 ESXi 及容器集群环境，作为算力业务统一流量网关与调度中台。</w:t>
            </w:r>
          </w:p>
          <w:p w14:paraId="71ABF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2、支持 AI 大模型、算力推理、训练任务南北向 / 东西向流量治理，兼容 HTTP/2、gRPC、WebSocket 等协议，具备负载均衡、灰度发布、流量镜像、限流熔断、故障自动转移能力。</w:t>
            </w:r>
          </w:p>
          <w:p w14:paraId="4E636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3、支持 MCP 服务治理、API 接口统一纳管、权限管控、调用审计、流量统计，构建私有化算力服务集市。</w:t>
            </w:r>
          </w:p>
          <w:p w14:paraId="0E89A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4、实时监控算力集群 CPU、GPU、内存、磁盘 I/O、算力负载、任务运行状态，可视化展示资源利用率与节点负载，异常任务自动告警、重试、终止。</w:t>
            </w:r>
          </w:p>
          <w:p w14:paraId="20C3C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5、适配 Linux/CentOS/Ubuntu/Windows 算力服务器系统运维，提供系统加固、补丁更新、账户权限管理、进程管控、日志分析清理、系统参数调优能力。</w:t>
            </w:r>
          </w:p>
          <w:p w14:paraId="2FD11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6、支持 BMC/IPMI 远程硬件监控，预警电源、风扇、温度、硬盘、网卡故障；支持故障节点隔离、算力任务自动迁移，协助硬件故障定位与业务迁移。</w:t>
            </w:r>
          </w:p>
          <w:p w14:paraId="7BE67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7、可与软路由、运维平台、堡垒机、软件防火墙深度联动，统一 VLAN、网卡绑定、路由策略配置，排查网络丢包、延迟、访问异常；算力流量纳入安全防护，运维操作全程审计留痕。</w:t>
            </w:r>
          </w:p>
          <w:p w14:paraId="02C23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8、支持自定义数据备份策略，全量 / 增量定时备份、备份文件完整性校验、一键恢复；监控存储阵列及文件系统运行状态，防范数据丢失。</w:t>
            </w:r>
          </w:p>
          <w:p w14:paraId="1761A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9、提供 7×24 小时技术咨询、远程运维、专属对接服务；每月现场巡检、季度深度算力性能优化；配合等保测评、安全检查、漏洞整改及全套合规材料支撑。</w:t>
            </w:r>
          </w:p>
        </w:tc>
        <w:tc>
          <w:tcPr>
            <w:tcW w:w="581" w:type="dxa"/>
            <w:noWrap w:val="0"/>
            <w:vAlign w:val="center"/>
          </w:tcPr>
          <w:p w14:paraId="7F57E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81" w:type="dxa"/>
            <w:noWrap w:val="0"/>
            <w:vAlign w:val="center"/>
          </w:tcPr>
          <w:p w14:paraId="69B60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81" w:type="dxa"/>
            <w:noWrap w:val="0"/>
            <w:vAlign w:val="center"/>
          </w:tcPr>
          <w:p w14:paraId="1A7F9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1C5413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br w:type="page"/>
      </w:r>
    </w:p>
    <w:p w14:paraId="564A0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240" w:lineRule="auto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微软雅黑" w:cs="微软雅黑"/>
          <w:b w:val="0"/>
          <w:bCs/>
          <w:kern w:val="0"/>
          <w:sz w:val="32"/>
          <w:szCs w:val="32"/>
          <w:lang w:val="en-US" w:eastAsia="zh-CN"/>
        </w:rPr>
        <w:t>附件二：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算力设备清单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116"/>
        <w:gridCol w:w="1439"/>
        <w:gridCol w:w="984"/>
        <w:gridCol w:w="2080"/>
        <w:gridCol w:w="1472"/>
        <w:gridCol w:w="944"/>
        <w:gridCol w:w="803"/>
      </w:tblGrid>
      <w:tr w14:paraId="239AF5E3">
        <w:trPr>
          <w:trHeight w:val="536" w:hRule="atLeast"/>
          <w:tblHeader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序列号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CPU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内存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8B71095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27SZ00001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RTX3080TI/12G/GDD R6X/384BIT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7F2B53B4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27SZ00002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RTX3080TI/12G/GDD R6X/384BIT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44A8C488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27SZ00003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RTX3080TI/12G/GDD R6X/384BIT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5984ACED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27SZ00004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RTX3080TI/12G/GDD R6X/384BIT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7220887C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27SZ00005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RTX3080TI/12G/GDD R6X/384BIT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69D0895C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27SZ00006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422DCE26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27SZ00007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03A6799D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27SZ00008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17AAA419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27SZ00009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371200AB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27SZ00010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79F244CA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27SZ00011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04B4EE3E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27SZ00012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8（1 根故障）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486704DC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27SZ00013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534F4E99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27SZ00014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65E5044F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27SZ00015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3638AE85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27SZ00016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28CFF046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27SZ00017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74650CDD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27SZ00018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330948A8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27SZ00019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365073A9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27SZ00020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258C904D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27SZ00021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353D1341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27SZ00022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5E461198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27SZ00023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2FD405CC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27SZ00024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50E13940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27SZ00025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22369BCA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27SZ00026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704313BA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27SZ00027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27E26754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27SZ00028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RTXA5000/24/GDDR6x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128729D3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27SZ00029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479B405A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27SZ00030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35773C40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27SZ00031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67C26D1E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27SZ00032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545A525D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27SZ00033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5635844B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27SZ00034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0D4CB449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27SZ00035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16C27049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27SZ00036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3955C12F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27SZ00037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1D46D8A1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27SZ00038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673FE77F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27SZ00039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3F8A667B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27SZ00040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65915038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27SZ00041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7E7D77CB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27SZ00042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1B9C24BE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27SZ00043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0CAC1489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27SZ00044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1C389E0F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27SZ00045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01543EA6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27SZ00046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61BC9CE5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27SZ00047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08544FE6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27SZ00048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4B344597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27SZ00049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0392A206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27SZ00050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4FE0A250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27SZ00051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72AB95F2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27SZ00052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60042519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27SZ00053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5418E490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27SZ00054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03FA8FE0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27SZ00055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4BD6F538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27SZ00056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42A58F11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27SZ00057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063948CB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27SZ00058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4194320C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27SZ00059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494A11D1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27SZ00060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06F3B48C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27SZ00061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4BDCD559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27SZ00062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5E235DF2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27SZ00063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618941AC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27SZ00064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5A6D8757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27SZ00065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4FFD0B3E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27SZ00066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5CA28A96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27SZ00067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71899C2F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27SZ00068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56BAC0D1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27SZ00069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36611201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27SZ00070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 84 (2 根故障)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104C2F6B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27SZ00071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01297977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27SZ00073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3CAC2F2D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27SZ00074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06A1E8C0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27SZ00075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2B09A4E9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27SZ00076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18873B9A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27SZ00077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4u</w:t>
            </w:r>
          </w:p>
        </w:tc>
      </w:tr>
      <w:tr w14:paraId="21F0C15A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27SZ00078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35035F52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PR4910W2207 27SZ00128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Platinum 8350C CPU @ 2.60GHz*2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64G*6=384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RTX3090 24G GDDR6X 384-BIT PCL-E 4.0 * 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7.68TB+480G*1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PR4910w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42B7066C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RP2710P2207 27SZ002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Gold 5218R CPU @2.10GHz*2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64G*8=512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6T*12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PR2710p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70AE8765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RP2710P2207 27SZ003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Gold 5218R CPU @2.10GHz*2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64G*8=512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6T*12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PR2710p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14F3B43C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RP2710P2207 27SZ004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Gold 5218R CPU @2.10GHz*2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64G*8=512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4B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6T*12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PR2710p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6B2E46AA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RP2710P2207 27SZ005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Gold 5218R CPU @2.10GHz*2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64G*8=512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16T*12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PR2710p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2U</w:t>
            </w:r>
          </w:p>
        </w:tc>
      </w:tr>
      <w:tr w14:paraId="599D6C12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RP2710P2207 27SZ006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Bronze 3206R CPU @ 1.90GHz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32G*2=64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16T*4+480G*2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PR2710p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2U</w:t>
            </w:r>
          </w:p>
        </w:tc>
      </w:tr>
      <w:tr w14:paraId="21B0CFFE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RP2710P2207 27SZ007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 (R) Xeon (R) Bronze 3206R CPU @ 1.90GHz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32G*2=64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6E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16T*4+480G*2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PR2710p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val="en-US" w:eastAsia="zh-CN" w:bidi="ar"/>
              </w:rPr>
              <w:t>U</w:t>
            </w:r>
          </w:p>
        </w:tc>
      </w:tr>
      <w:tr w14:paraId="52597F16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E738GD22505 3</w:t>
            </w:r>
          </w:p>
        </w:tc>
        <w:tc>
          <w:tcPr>
            <w:tcW w:w="6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25Gb 以太网交换机 PL4808YC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光口</w:t>
            </w:r>
          </w:p>
        </w:tc>
      </w:tr>
      <w:tr w14:paraId="6E7B3296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SN 在机器下方无法查看</w:t>
            </w:r>
          </w:p>
        </w:tc>
        <w:tc>
          <w:tcPr>
            <w:tcW w:w="6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25Gb 以太网交换机 PL4808YC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光口</w:t>
            </w:r>
          </w:p>
        </w:tc>
      </w:tr>
      <w:tr w14:paraId="1CCD3379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E738GD22504 5</w:t>
            </w:r>
          </w:p>
        </w:tc>
        <w:tc>
          <w:tcPr>
            <w:tcW w:w="6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25Gb 以太网交换机 PL4808YC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光口</w:t>
            </w:r>
          </w:p>
        </w:tc>
      </w:tr>
      <w:tr w14:paraId="7C299F5A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E738GD22500 6</w:t>
            </w:r>
          </w:p>
        </w:tc>
        <w:tc>
          <w:tcPr>
            <w:tcW w:w="6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 25Gb 以太网交换机 PL4808YC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光口</w:t>
            </w:r>
          </w:p>
        </w:tc>
      </w:tr>
      <w:tr w14:paraId="74BB14DB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E606MT2211D 5</w:t>
            </w:r>
          </w:p>
        </w:tc>
        <w:tc>
          <w:tcPr>
            <w:tcW w:w="6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宝德千兆以太网交换机PL4804X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电口</w:t>
            </w:r>
          </w:p>
        </w:tc>
      </w:tr>
      <w:tr w14:paraId="5AC525B4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E606MT22119 4</w:t>
            </w:r>
          </w:p>
        </w:tc>
        <w:tc>
          <w:tcPr>
            <w:tcW w:w="6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宝德千兆以太网交换机PL4804X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电口</w:t>
            </w:r>
          </w:p>
        </w:tc>
      </w:tr>
      <w:tr w14:paraId="7819D735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E606MT221330</w:t>
            </w:r>
          </w:p>
        </w:tc>
        <w:tc>
          <w:tcPr>
            <w:tcW w:w="6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宝德千兆以太网交换机PL4804X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电口</w:t>
            </w:r>
          </w:p>
        </w:tc>
      </w:tr>
      <w:tr w14:paraId="7BE05E2A">
        <w:trPr>
          <w:trHeight w:val="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7FE1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宝德千兆以太网交换机PL4804X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电口</w:t>
            </w:r>
          </w:p>
        </w:tc>
      </w:tr>
    </w:tbl>
    <w:p w14:paraId="13609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0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仿宋-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3B383">
    <w:pPr>
      <w:spacing w:line="229" w:lineRule="auto"/>
      <w:ind w:left="490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sz w:val="18"/>
        <w:szCs w:val="18"/>
      </w:rPr>
      <w:t>19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B7B9A"/>
    <w:rsid w:val="00ED31FD"/>
    <w:rsid w:val="011826A2"/>
    <w:rsid w:val="029727EB"/>
    <w:rsid w:val="042A6EF2"/>
    <w:rsid w:val="04EE4F03"/>
    <w:rsid w:val="06043E9E"/>
    <w:rsid w:val="06DA075B"/>
    <w:rsid w:val="08B1198F"/>
    <w:rsid w:val="09526CCE"/>
    <w:rsid w:val="0A5C79E2"/>
    <w:rsid w:val="0FB0474F"/>
    <w:rsid w:val="111B02EE"/>
    <w:rsid w:val="12C02EFB"/>
    <w:rsid w:val="16985F3D"/>
    <w:rsid w:val="175B1444"/>
    <w:rsid w:val="17F13B56"/>
    <w:rsid w:val="184C44DC"/>
    <w:rsid w:val="1B43464B"/>
    <w:rsid w:val="1CCE090A"/>
    <w:rsid w:val="1DCF493A"/>
    <w:rsid w:val="1DE101C9"/>
    <w:rsid w:val="215313DE"/>
    <w:rsid w:val="21AB7B9A"/>
    <w:rsid w:val="26B66697"/>
    <w:rsid w:val="27EC7E96"/>
    <w:rsid w:val="288F53F1"/>
    <w:rsid w:val="289C366A"/>
    <w:rsid w:val="29E11C2D"/>
    <w:rsid w:val="2B150495"/>
    <w:rsid w:val="2CE83322"/>
    <w:rsid w:val="2E470521"/>
    <w:rsid w:val="31615451"/>
    <w:rsid w:val="31D068E5"/>
    <w:rsid w:val="34452E08"/>
    <w:rsid w:val="37BC5AD7"/>
    <w:rsid w:val="386122D6"/>
    <w:rsid w:val="393D49F6"/>
    <w:rsid w:val="3A973FA9"/>
    <w:rsid w:val="3DFF3A68"/>
    <w:rsid w:val="3F7FB395"/>
    <w:rsid w:val="44205D09"/>
    <w:rsid w:val="45442192"/>
    <w:rsid w:val="45E306D3"/>
    <w:rsid w:val="46317E42"/>
    <w:rsid w:val="47B02837"/>
    <w:rsid w:val="47F44E19"/>
    <w:rsid w:val="48AB197C"/>
    <w:rsid w:val="48C12F4D"/>
    <w:rsid w:val="4AFE366C"/>
    <w:rsid w:val="4C016D28"/>
    <w:rsid w:val="4CFF5223"/>
    <w:rsid w:val="4D53613E"/>
    <w:rsid w:val="501A1195"/>
    <w:rsid w:val="5055041F"/>
    <w:rsid w:val="530D4FE1"/>
    <w:rsid w:val="530F679C"/>
    <w:rsid w:val="53DA4EC3"/>
    <w:rsid w:val="54F33BEE"/>
    <w:rsid w:val="552BBDA3"/>
    <w:rsid w:val="56BF4844"/>
    <w:rsid w:val="57A8352A"/>
    <w:rsid w:val="57EF1159"/>
    <w:rsid w:val="5A0D0E6E"/>
    <w:rsid w:val="5D5641BE"/>
    <w:rsid w:val="5EBB0B0A"/>
    <w:rsid w:val="605E50CE"/>
    <w:rsid w:val="61D92C5E"/>
    <w:rsid w:val="629F3920"/>
    <w:rsid w:val="66886A01"/>
    <w:rsid w:val="671E7365"/>
    <w:rsid w:val="685B7EC7"/>
    <w:rsid w:val="6B451364"/>
    <w:rsid w:val="6D282002"/>
    <w:rsid w:val="6FB940CF"/>
    <w:rsid w:val="70E448CA"/>
    <w:rsid w:val="716A38D3"/>
    <w:rsid w:val="723604ED"/>
    <w:rsid w:val="73592332"/>
    <w:rsid w:val="744437CE"/>
    <w:rsid w:val="74601560"/>
    <w:rsid w:val="78564BB1"/>
    <w:rsid w:val="79B60596"/>
    <w:rsid w:val="7AA67CE5"/>
    <w:rsid w:val="7E7E2ED9"/>
    <w:rsid w:val="7EBB39C0"/>
    <w:rsid w:val="7EDB5E10"/>
    <w:rsid w:val="7F961D37"/>
    <w:rsid w:val="7F97149A"/>
    <w:rsid w:val="7FEC7BA9"/>
    <w:rsid w:val="BFF68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2578</Words>
  <Characters>2709</Characters>
  <Lines>0</Lines>
  <Paragraphs>0</Paragraphs>
  <TotalTime>101</TotalTime>
  <ScaleCrop>false</ScaleCrop>
  <LinksUpToDate>false</LinksUpToDate>
  <CharactersWithSpaces>2723</CharactersWithSpaces>
  <Application>WPS Office_12.1.25867.25867_F1E327BC-269C-435d-A152-05C5408002CA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2026-04-09T17:00:00Z</dcterms:created>
  <dc:creator>哦</dc:creator>
  <cp:lastModifiedBy>kong~</cp:lastModifiedBy>
  <dcterms:modified xsi:type="dcterms:W3CDTF">2026-05-25T17:45:17Z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40EB656C73252E682D1A146AB83F89F8_43</vt:lpwstr>
  </property>
  <property fmtid="{D5CDD505-2E9C-101B-9397-08002B2CF9AE}" pid="4" name="KSOTemplateDocerSaveRecord">
    <vt:lpwstr>eyJoZGlkIjoiNTMyMDRhYTM1NGI5YzU4MmNhNzMyNmIwNzUwN2M5NDEiLCJ1c2VySWQiOiIyODQwMjYxNTAifQ==</vt:lpwstr>
  </property>
</Properties>
</file>